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091C7EED"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1733430B"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8254DC">
              <w:rPr>
                <w:rFonts w:asciiTheme="majorEastAsia" w:eastAsiaTheme="majorEastAsia" w:hAnsiTheme="majorEastAsia" w:hint="eastAsia"/>
                <w:kern w:val="0"/>
                <w:sz w:val="16"/>
                <w:szCs w:val="20"/>
                <w:fitText w:val="640" w:id="-879483645"/>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249FBF9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1F868982"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0755FEC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6DBD2BAE" w14:textId="77777777" w:rsidTr="00E83D79">
        <w:trPr>
          <w:trHeight w:val="273"/>
        </w:trPr>
        <w:tc>
          <w:tcPr>
            <w:tcW w:w="448" w:type="dxa"/>
            <w:vMerge/>
            <w:tcBorders>
              <w:left w:val="single" w:sz="4" w:space="0" w:color="auto"/>
              <w:right w:val="single" w:sz="4" w:space="0" w:color="auto"/>
            </w:tcBorders>
            <w:textDirection w:val="tbRlV"/>
          </w:tcPr>
          <w:p w14:paraId="253E0106"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56B9FC2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380A3343"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7A5D70CC"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0742DC1F" w14:textId="7A93185C" w:rsidR="008020C0" w:rsidRPr="00A91474"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様式第５－（ハ）－②</w:t>
      </w:r>
      <w:r w:rsidR="00857850">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＜利益率要件＞</w:t>
      </w:r>
      <w:r w:rsidR="00857850">
        <w:rPr>
          <w:rFonts w:asciiTheme="majorEastAsia" w:eastAsiaTheme="majorEastAsia" w:hAnsiTheme="majorEastAsia" w:hint="eastAsia"/>
          <w:color w:val="000000"/>
          <w:kern w:val="0"/>
        </w:rPr>
        <w:t>（</w:t>
      </w:r>
      <w:r w:rsidR="003A4CD4" w:rsidRPr="00A91474">
        <w:rPr>
          <w:rFonts w:asciiTheme="majorEastAsia" w:eastAsiaTheme="majorEastAsia" w:hAnsiTheme="majorEastAsia" w:hint="eastAsia"/>
          <w:color w:val="000000"/>
          <w:kern w:val="0"/>
        </w:rPr>
        <w:t>指定業種と非指定業種を営んでいる場合</w:t>
      </w:r>
      <w:r w:rsidR="00857850">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B63549C" w14:textId="77777777" w:rsidTr="006D10B8">
        <w:trPr>
          <w:trHeight w:val="11018"/>
        </w:trPr>
        <w:tc>
          <w:tcPr>
            <w:tcW w:w="9639" w:type="dxa"/>
            <w:tcBorders>
              <w:top w:val="single" w:sz="4" w:space="0" w:color="000000"/>
              <w:left w:val="single" w:sz="4" w:space="0" w:color="000000"/>
              <w:bottom w:val="single" w:sz="4" w:space="0" w:color="000000"/>
              <w:right w:val="single" w:sz="4" w:space="0" w:color="000000"/>
            </w:tcBorders>
          </w:tcPr>
          <w:p w14:paraId="523FEE39" w14:textId="71E0C2C1" w:rsidR="00C83A7B" w:rsidRPr="00A91474" w:rsidRDefault="008020C0" w:rsidP="00C83A7B">
            <w:pPr>
              <w:spacing w:beforeLines="50" w:before="177" w:afterLines="50" w:after="177"/>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01E2B198"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70C3D002"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118D2605"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6EF84CFA"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46AE17BE"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58B6DB46" w14:textId="77777777" w:rsidR="00C83A7B" w:rsidRPr="00A91474" w:rsidRDefault="00C83A7B" w:rsidP="00F97168">
            <w:pPr>
              <w:suppressAutoHyphens/>
              <w:kinsoku w:val="0"/>
              <w:overflowPunct w:val="0"/>
              <w:autoSpaceDE w:val="0"/>
              <w:autoSpaceDN w:val="0"/>
              <w:adjustRightInd w:val="0"/>
              <w:ind w:right="566"/>
              <w:jc w:val="left"/>
              <w:textAlignment w:val="baseline"/>
              <w:rPr>
                <w:rFonts w:asciiTheme="majorEastAsia" w:eastAsiaTheme="majorEastAsia" w:hAnsiTheme="majorEastAsia"/>
                <w:color w:val="000000"/>
                <w:kern w:val="0"/>
              </w:rPr>
            </w:pPr>
          </w:p>
          <w:p w14:paraId="3B2C79B9" w14:textId="77777777" w:rsidR="003A4CD4" w:rsidRPr="00A91474" w:rsidRDefault="008020C0" w:rsidP="003A4CD4">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私は、表に記載する業を営んでいるが、下記のとおり、</w:t>
            </w:r>
            <w:r w:rsidR="003A4CD4" w:rsidRPr="00A91474">
              <w:rPr>
                <w:rFonts w:asciiTheme="majorEastAsia" w:eastAsiaTheme="majorEastAsia" w:hAnsiTheme="majorEastAsia" w:hint="eastAsia"/>
                <w:color w:val="000000"/>
                <w:kern w:val="0"/>
                <w:u w:val="single" w:color="000000"/>
              </w:rPr>
              <w:t xml:space="preserve">　　　　　　　　　　　　</w:t>
            </w:r>
            <w:r w:rsidR="003A4CD4" w:rsidRPr="00A91474" w:rsidDel="00093889">
              <w:rPr>
                <w:rFonts w:asciiTheme="majorEastAsia" w:eastAsiaTheme="majorEastAsia" w:hAnsiTheme="majorEastAsia" w:hint="eastAsia"/>
                <w:color w:val="000000"/>
                <w:kern w:val="0"/>
                <w:u w:val="single" w:color="000000"/>
              </w:rPr>
              <w:t>（注）</w:t>
            </w:r>
            <w:r w:rsidR="003A4CD4" w:rsidRPr="00A91474">
              <w:rPr>
                <w:rFonts w:asciiTheme="majorEastAsia" w:eastAsiaTheme="majorEastAsia" w:hAnsiTheme="majorEastAsia" w:hint="eastAsia"/>
                <w:color w:val="000000"/>
                <w:kern w:val="0"/>
                <w:u w:val="single" w:color="000000"/>
              </w:rPr>
              <w:t>の増加</w:t>
            </w:r>
            <w:r w:rsidR="003A4CD4" w:rsidRPr="00A91474" w:rsidDel="00B22EA4">
              <w:rPr>
                <w:rFonts w:asciiTheme="majorEastAsia" w:eastAsiaTheme="majorEastAsia" w:hAnsiTheme="majorEastAsia" w:hint="eastAsia"/>
                <w:color w:val="000000"/>
                <w:kern w:val="0"/>
              </w:rPr>
              <w:t>が生じているため、</w:t>
            </w:r>
            <w:r w:rsidR="003A4CD4" w:rsidRPr="00A91474">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71786D85" w14:textId="1DC41301" w:rsidR="008020C0" w:rsidRPr="00A91474" w:rsidRDefault="00D850A7" w:rsidP="00F97168">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7825CD" w:rsidRPr="00A91474" w14:paraId="4420AB5F" w14:textId="77777777" w:rsidTr="00B73F9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04D98218" w14:textId="77777777" w:rsidR="007825CD" w:rsidRPr="00A91474" w:rsidRDefault="007825CD" w:rsidP="007825CD">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27609050"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3E8D0C61"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7825CD" w:rsidRPr="00A91474" w14:paraId="693417FA" w14:textId="77777777" w:rsidTr="00B73F93">
              <w:trPr>
                <w:trHeight w:val="388"/>
                <w:jc w:val="center"/>
              </w:trPr>
              <w:tc>
                <w:tcPr>
                  <w:tcW w:w="3121" w:type="dxa"/>
                  <w:tcBorders>
                    <w:top w:val="single" w:sz="24" w:space="0" w:color="auto"/>
                  </w:tcBorders>
                </w:tcPr>
                <w:p w14:paraId="345B35F4"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2A318E56"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4A2E31AA" w14:textId="77777777" w:rsidR="007825CD" w:rsidRPr="00A91474" w:rsidRDefault="007825CD" w:rsidP="007825C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0BD7D583" w14:textId="26424510" w:rsidR="008020C0" w:rsidRPr="00343963" w:rsidRDefault="008020C0" w:rsidP="00343963">
            <w:pPr>
              <w:suppressAutoHyphens/>
              <w:kinsoku w:val="0"/>
              <w:overflowPunct w:val="0"/>
              <w:autoSpaceDE w:val="0"/>
              <w:autoSpaceDN w:val="0"/>
              <w:adjustRightInd w:val="0"/>
              <w:spacing w:line="0" w:lineRule="atLeast"/>
              <w:ind w:rightChars="-21" w:right="-44"/>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w:t>
            </w:r>
            <w:r w:rsidR="00B30BA1" w:rsidRPr="00343963">
              <w:rPr>
                <w:rFonts w:asciiTheme="majorEastAsia" w:eastAsiaTheme="majorEastAsia" w:hAnsiTheme="majorEastAsia" w:hint="eastAsia"/>
                <w:color w:val="000000"/>
                <w:spacing w:val="-10"/>
                <w:kern w:val="0"/>
                <w:sz w:val="20"/>
                <w:szCs w:val="22"/>
              </w:rPr>
              <w:t>のうち指定業種に</w:t>
            </w:r>
            <w:r w:rsidRPr="00343963">
              <w:rPr>
                <w:rFonts w:asciiTheme="majorEastAsia" w:eastAsiaTheme="majorEastAsia" w:hAnsiTheme="majorEastAsia" w:hint="eastAsia"/>
                <w:color w:val="000000"/>
                <w:spacing w:val="-10"/>
                <w:kern w:val="0"/>
                <w:sz w:val="20"/>
                <w:szCs w:val="22"/>
              </w:rPr>
              <w:t>属する</w:t>
            </w:r>
            <w:r w:rsidR="00B30BA1" w:rsidRPr="00343963">
              <w:rPr>
                <w:rFonts w:asciiTheme="majorEastAsia" w:eastAsiaTheme="majorEastAsia" w:hAnsiTheme="majorEastAsia" w:hint="eastAsia"/>
                <w:color w:val="000000"/>
                <w:spacing w:val="-10"/>
                <w:kern w:val="0"/>
                <w:sz w:val="20"/>
                <w:szCs w:val="22"/>
              </w:rPr>
              <w:t>もの</w:t>
            </w:r>
            <w:r w:rsidRPr="00343963">
              <w:rPr>
                <w:rFonts w:asciiTheme="majorEastAsia" w:eastAsiaTheme="majorEastAsia" w:hAnsiTheme="majorEastAsia" w:hint="eastAsia"/>
                <w:color w:val="000000"/>
                <w:spacing w:val="-10"/>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475EAB18" w14:textId="77777777" w:rsidR="00343963" w:rsidRPr="00A91474" w:rsidRDefault="00343963" w:rsidP="00343963">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803648" behindDoc="0" locked="0" layoutInCell="1" allowOverlap="1" wp14:anchorId="0C2FA225" wp14:editId="2B6609C1">
                      <wp:simplePos x="0" y="0"/>
                      <wp:positionH relativeFrom="column">
                        <wp:posOffset>3907790</wp:posOffset>
                      </wp:positionH>
                      <wp:positionV relativeFrom="paragraph">
                        <wp:posOffset>134112</wp:posOffset>
                      </wp:positionV>
                      <wp:extent cx="339270" cy="1404620"/>
                      <wp:effectExtent l="0" t="0" r="3810" b="0"/>
                      <wp:wrapNone/>
                      <wp:docPr id="602821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70" cy="1404620"/>
                              </a:xfrm>
                              <a:prstGeom prst="rect">
                                <a:avLst/>
                              </a:prstGeom>
                              <a:noFill/>
                              <a:ln w="9525">
                                <a:noFill/>
                                <a:miter lim="800000"/>
                                <a:headEnd/>
                                <a:tailEnd/>
                              </a:ln>
                            </wps:spPr>
                            <wps:txbx>
                              <w:txbxContent>
                                <w:p w14:paraId="6FD6AB9A"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9822F67"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32615105"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FA225" id="_x0000_s1042" type="#_x0000_t202" style="position:absolute;left:0;text-align:left;margin-left:307.7pt;margin-top:10.55pt;width:26.7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" filled="f" stroked="f">
                      <v:textbox style="mso-fit-shape-to-text:t" inset=",,0">
                        <w:txbxContent>
                          <w:p w14:paraId="6FD6AB9A"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19822F67"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32615105"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Pr="00A91474">
              <w:rPr>
                <w:rFonts w:asciiTheme="majorEastAsia" w:eastAsiaTheme="majorEastAsia" w:hAnsiTheme="majorEastAsia" w:hint="eastAsia"/>
                <w:color w:val="000000"/>
                <w:kern w:val="0"/>
                <w:lang w:eastAsia="zh-TW"/>
              </w:rPr>
              <w:t>記</w:t>
            </w:r>
          </w:p>
          <w:p w14:paraId="15D69A7A" w14:textId="77777777" w:rsidR="00343963"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64F0FD3B" w14:textId="77777777"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0CB4CF8A" w14:textId="03083D8D" w:rsidR="008020C0" w:rsidRPr="00A91474" w:rsidRDefault="00F75682" w:rsidP="00F75682">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 xml:space="preserve">２　</w:t>
            </w:r>
            <w:r w:rsidR="008020C0" w:rsidRPr="00A91474">
              <w:rPr>
                <w:rFonts w:asciiTheme="majorEastAsia" w:eastAsiaTheme="majorEastAsia" w:hAnsiTheme="majorEastAsia" w:hint="eastAsia"/>
                <w:color w:val="000000"/>
                <w:kern w:val="0"/>
                <w:lang w:eastAsia="zh-TW"/>
              </w:rPr>
              <w:t>月平均売上高営業利益率</w:t>
            </w:r>
          </w:p>
          <w:p w14:paraId="0F8A9D74" w14:textId="0264FCFE" w:rsidR="008020C0" w:rsidRPr="00A91474" w:rsidRDefault="00A70ED6"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737088" behindDoc="0" locked="0" layoutInCell="1" allowOverlap="1" wp14:anchorId="0C36C239" wp14:editId="7171E116">
                      <wp:simplePos x="0" y="0"/>
                      <wp:positionH relativeFrom="column">
                        <wp:posOffset>1199515</wp:posOffset>
                      </wp:positionH>
                      <wp:positionV relativeFrom="paragraph">
                        <wp:posOffset>68210</wp:posOffset>
                      </wp:positionV>
                      <wp:extent cx="603885" cy="231775"/>
                      <wp:effectExtent l="0" t="0" r="5715" b="0"/>
                      <wp:wrapNone/>
                      <wp:docPr id="1796894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73AC424F" w14:textId="77777777"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36C239" id="_x0000_s1043" type="#_x0000_t202" style="position:absolute;left:0;text-align:left;margin-left:94.45pt;margin-top:5.35pt;width:47.55pt;height:18.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" filled="f" stroked="f">
                      <v:textbox inset="0,0,0,0">
                        <w:txbxContent>
                          <w:p w14:paraId="73AC424F" w14:textId="77777777" w:rsidR="00A70ED6" w:rsidRPr="00DC5512" w:rsidRDefault="00A70ED6" w:rsidP="00A70ED6">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Ｂ－Ａ</w:t>
            </w:r>
            <w:r w:rsidR="003A4CD4" w:rsidRPr="00A91474">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hint="eastAsia"/>
                <w:color w:val="000000"/>
                <w:kern w:val="0"/>
                <w:u w:val="single" w:color="000000"/>
              </w:rPr>
              <w:t xml:space="preserve">指定業種の減少率　　</w:t>
            </w:r>
            <w:r w:rsidR="00D850A7">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w:t>
            </w:r>
            <w:r w:rsidR="006D10B8" w:rsidRPr="00D850A7">
              <w:rPr>
                <w:rFonts w:asciiTheme="majorEastAsia" w:eastAsiaTheme="majorEastAsia" w:hAnsiTheme="majorEastAsia" w:hint="eastAsia"/>
                <w:color w:val="000000"/>
                <w:kern w:val="0"/>
              </w:rPr>
              <w:t>≧</w:t>
            </w:r>
            <w:r w:rsidR="00635597">
              <w:rPr>
                <w:rFonts w:asciiTheme="majorEastAsia" w:eastAsiaTheme="majorEastAsia" w:hAnsiTheme="majorEastAsia" w:hint="eastAsia"/>
                <w:color w:val="000000"/>
                <w:kern w:val="0"/>
              </w:rPr>
              <w:t>２０</w:t>
            </w:r>
            <w:r w:rsidR="006D10B8" w:rsidRPr="00D850A7">
              <w:rPr>
                <w:rFonts w:asciiTheme="majorEastAsia" w:eastAsiaTheme="majorEastAsia" w:hAnsiTheme="majorEastAsia" w:hint="eastAsia"/>
                <w:color w:val="000000"/>
                <w:kern w:val="0"/>
              </w:rPr>
              <w:t>％</w:t>
            </w:r>
          </w:p>
          <w:p w14:paraId="53C72715" w14:textId="4AEAA6C5" w:rsidR="008020C0" w:rsidRPr="00A91474" w:rsidRDefault="008020C0" w:rsidP="003A4CD4">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Ｂ</w:t>
            </w:r>
            <w:r w:rsidR="003A4CD4" w:rsidRPr="00A91474">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全体の</w:t>
            </w:r>
            <w:r w:rsidRPr="00A91474">
              <w:rPr>
                <w:rFonts w:asciiTheme="majorEastAsia" w:eastAsiaTheme="majorEastAsia" w:hAnsiTheme="majorEastAsia" w:hint="eastAsia"/>
                <w:color w:val="000000"/>
                <w:kern w:val="0"/>
                <w:u w:val="single" w:color="000000"/>
              </w:rPr>
              <w:t>減少率</w:t>
            </w:r>
            <w:r w:rsidR="00D850A7">
              <w:rPr>
                <w:rFonts w:asciiTheme="majorEastAsia" w:eastAsiaTheme="majorEastAsia" w:hAnsiTheme="majorEastAsia" w:hint="eastAsia"/>
                <w:color w:val="000000"/>
                <w:kern w:val="0"/>
                <w:u w:val="single" w:color="000000"/>
              </w:rPr>
              <w:t xml:space="preserve">　　　　　　</w:t>
            </w:r>
            <w:r w:rsidR="00D850A7" w:rsidRPr="00A91474">
              <w:rPr>
                <w:rFonts w:asciiTheme="majorEastAsia" w:eastAsiaTheme="majorEastAsia" w:hAnsiTheme="majorEastAsia" w:hint="eastAsia"/>
                <w:color w:val="000000"/>
                <w:kern w:val="0"/>
                <w:u w:val="single" w:color="000000"/>
              </w:rPr>
              <w:t>％</w:t>
            </w:r>
            <w:r w:rsidR="00D850A7" w:rsidRPr="00D850A7">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２０</w:t>
            </w:r>
            <w:r w:rsidR="00D850A7" w:rsidRPr="00D850A7">
              <w:rPr>
                <w:rFonts w:asciiTheme="majorEastAsia" w:eastAsiaTheme="majorEastAsia" w:hAnsiTheme="majorEastAsia" w:hint="eastAsia"/>
                <w:color w:val="000000"/>
                <w:kern w:val="0"/>
              </w:rPr>
              <w:t>％</w:t>
            </w:r>
          </w:p>
          <w:p w14:paraId="1A333676" w14:textId="517AC3F4" w:rsidR="008020C0" w:rsidRPr="00A91474" w:rsidRDefault="008020C0" w:rsidP="00954301">
            <w:pPr>
              <w:suppressAutoHyphens/>
              <w:kinsoku w:val="0"/>
              <w:overflowPunct w:val="0"/>
              <w:autoSpaceDE w:val="0"/>
              <w:autoSpaceDN w:val="0"/>
              <w:adjustRightInd w:val="0"/>
              <w:ind w:left="182" w:rightChars="-20" w:right="-42" w:firstLineChars="100" w:firstLine="210"/>
              <w:jc w:val="left"/>
              <w:textAlignment w:val="baseline"/>
              <w:rPr>
                <w:rFonts w:asciiTheme="majorEastAsia" w:eastAsiaTheme="majorEastAsia" w:hAnsiTheme="majorEastAsia"/>
                <w:color w:val="000000"/>
                <w:spacing w:val="16"/>
                <w:kern w:val="0"/>
                <w:u w:val="single"/>
              </w:rPr>
            </w:pPr>
            <w:r w:rsidRPr="00954301">
              <w:rPr>
                <w:rFonts w:asciiTheme="majorEastAsia" w:eastAsiaTheme="majorEastAsia" w:hAnsiTheme="majorEastAsia" w:hint="eastAsia"/>
                <w:color w:val="000000"/>
                <w:kern w:val="0"/>
                <w:u w:val="single"/>
              </w:rPr>
              <w:t>最近３か月間における全体の売上高等に占める指定業種の売上高等の割合</w:t>
            </w:r>
            <w:r w:rsidR="003A4CD4" w:rsidRPr="00A91474">
              <w:rPr>
                <w:rFonts w:asciiTheme="majorEastAsia" w:eastAsiaTheme="majorEastAsia" w:hAnsiTheme="majorEastAsia" w:hint="eastAsia"/>
                <w:color w:val="000000"/>
                <w:kern w:val="0"/>
                <w:u w:val="single"/>
              </w:rPr>
              <w:t xml:space="preserve">　</w:t>
            </w:r>
            <w:r w:rsidR="00D850A7">
              <w:rPr>
                <w:rFonts w:asciiTheme="majorEastAsia" w:eastAsiaTheme="majorEastAsia" w:hAnsiTheme="majorEastAsia" w:hint="eastAsia"/>
                <w:color w:val="000000"/>
                <w:kern w:val="0"/>
                <w:u w:val="single"/>
              </w:rPr>
              <w:t xml:space="preserve">　</w:t>
            </w:r>
            <w:r w:rsidR="003A4CD4"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rPr>
              <w:t>％</w:t>
            </w:r>
            <w:r w:rsidR="00D850A7" w:rsidRPr="00D850A7">
              <w:rPr>
                <w:rFonts w:asciiTheme="majorEastAsia" w:eastAsiaTheme="majorEastAsia" w:hAnsiTheme="majorEastAsia" w:hint="eastAsia"/>
                <w:color w:val="000000"/>
                <w:kern w:val="0"/>
              </w:rPr>
              <w:t>≧</w:t>
            </w:r>
            <w:r w:rsidR="00635597">
              <w:rPr>
                <w:rFonts w:asciiTheme="majorEastAsia" w:eastAsiaTheme="majorEastAsia" w:hAnsiTheme="majorEastAsia" w:hint="eastAsia"/>
                <w:color w:val="000000"/>
                <w:kern w:val="0"/>
              </w:rPr>
              <w:t>５</w:t>
            </w:r>
            <w:r w:rsidR="00D850A7" w:rsidRPr="00D850A7">
              <w:rPr>
                <w:rFonts w:asciiTheme="majorEastAsia" w:eastAsiaTheme="majorEastAsia" w:hAnsiTheme="majorEastAsia" w:hint="eastAsia"/>
                <w:color w:val="000000"/>
                <w:kern w:val="0"/>
              </w:rPr>
              <w:t>％</w:t>
            </w:r>
          </w:p>
          <w:p w14:paraId="21E5AB9A" w14:textId="424A2398" w:rsidR="008020C0" w:rsidRPr="00A91474" w:rsidRDefault="008020C0"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Ａ：申込時点における最近３か月間の月平均売上高営業利益率</w:t>
            </w:r>
          </w:p>
          <w:p w14:paraId="09B6DDB6" w14:textId="4A20C483" w:rsidR="008020C0" w:rsidRPr="00A91474" w:rsidRDefault="008020C0" w:rsidP="006D10B8">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spacing w:val="16"/>
                <w:kern w:val="0"/>
                <w:u w:val="single"/>
              </w:rPr>
            </w:pPr>
            <w:r w:rsidRPr="00A91474">
              <w:rPr>
                <w:rFonts w:asciiTheme="majorEastAsia" w:eastAsiaTheme="majorEastAsia" w:hAnsiTheme="majorEastAsia" w:hint="eastAsia"/>
                <w:color w:val="000000"/>
                <w:kern w:val="0"/>
              </w:rPr>
              <w:t>（</w:t>
            </w:r>
            <w:r w:rsidR="006D10B8">
              <w:rPr>
                <w:rFonts w:asciiTheme="majorEastAsia" w:eastAsiaTheme="majorEastAsia" w:hAnsiTheme="majorEastAsia" w:hint="eastAsia"/>
                <w:color w:val="000000"/>
                <w:kern w:val="0"/>
              </w:rPr>
              <w:t>令和</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　　月～</w:t>
            </w:r>
            <w:r w:rsidR="006D10B8">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D850A7">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指定業種の月平均売上高営業利益率　　　　　％</w:t>
            </w:r>
          </w:p>
          <w:p w14:paraId="47643722" w14:textId="02095647" w:rsidR="008020C0" w:rsidRPr="00A91474" w:rsidRDefault="008020C0" w:rsidP="00D850A7">
            <w:pPr>
              <w:suppressAutoHyphens/>
              <w:kinsoku w:val="0"/>
              <w:overflowPunct w:val="0"/>
              <w:autoSpaceDE w:val="0"/>
              <w:autoSpaceDN w:val="0"/>
              <w:adjustRightInd w:val="0"/>
              <w:ind w:firstLineChars="2200" w:firstLine="462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u w:val="single"/>
              </w:rPr>
              <w:t>全体の月平均売上高営業利益率</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p>
          <w:p w14:paraId="6AA3DDAB" w14:textId="2EC56A0B" w:rsidR="008020C0" w:rsidRPr="00A91474" w:rsidRDefault="008020C0"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Ｂ：Ａの期間に対応する前年の３か月間の月平均売上高営業利益率</w:t>
            </w:r>
          </w:p>
          <w:p w14:paraId="4A7C74CB" w14:textId="694AC95A" w:rsidR="008020C0" w:rsidRPr="00A91474" w:rsidRDefault="008020C0" w:rsidP="00D850A7">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spacing w:val="16"/>
                <w:kern w:val="0"/>
                <w:u w:val="single"/>
              </w:rPr>
            </w:pPr>
            <w:r w:rsidRPr="00A91474">
              <w:rPr>
                <w:rFonts w:asciiTheme="majorEastAsia" w:eastAsiaTheme="majorEastAsia" w:hAnsiTheme="majorEastAsia" w:hint="eastAsia"/>
                <w:color w:val="000000"/>
                <w:kern w:val="0"/>
              </w:rPr>
              <w:t>（</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D850A7">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3A4CD4"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　　月）</w:t>
            </w:r>
            <w:r w:rsidR="00D850A7">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指定業種の月平均売上高営業利益率　　　　　％</w:t>
            </w:r>
          </w:p>
          <w:p w14:paraId="4D18CC52" w14:textId="12A7BD71" w:rsidR="00A70ED6" w:rsidRPr="00A91474" w:rsidRDefault="008020C0" w:rsidP="00D850A7">
            <w:pPr>
              <w:suppressAutoHyphens/>
              <w:kinsoku w:val="0"/>
              <w:overflowPunct w:val="0"/>
              <w:autoSpaceDE w:val="0"/>
              <w:autoSpaceDN w:val="0"/>
              <w:adjustRightInd w:val="0"/>
              <w:ind w:firstLineChars="2200" w:firstLine="462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u w:val="single"/>
              </w:rPr>
              <w:t>全体の月平均売上高営業利益率</w:t>
            </w:r>
            <w:r w:rsidRPr="00A91474">
              <w:rPr>
                <w:rFonts w:asciiTheme="majorEastAsia" w:eastAsiaTheme="majorEastAsia" w:hAnsiTheme="majorEastAsia" w:hint="eastAsia"/>
                <w:color w:val="000000"/>
                <w:kern w:val="0"/>
                <w:u w:val="single" w:color="000000"/>
              </w:rPr>
              <w:t xml:space="preserve">　　　</w:t>
            </w:r>
            <w:r w:rsidR="00D850A7">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w:t>
            </w:r>
          </w:p>
        </w:tc>
      </w:tr>
      <w:tr w:rsidR="00C83A7B" w:rsidRPr="00A91474" w14:paraId="5C38FD6A" w14:textId="77777777" w:rsidTr="00B73F93">
        <w:trPr>
          <w:trHeight w:val="2064"/>
        </w:trPr>
        <w:tc>
          <w:tcPr>
            <w:tcW w:w="9639" w:type="dxa"/>
            <w:shd w:val="clear" w:color="auto" w:fill="auto"/>
          </w:tcPr>
          <w:p w14:paraId="664B6135" w14:textId="77777777" w:rsidR="00C83A7B" w:rsidRPr="00A91474" w:rsidRDefault="00C83A7B" w:rsidP="00B73F93">
            <w:pPr>
              <w:spacing w:beforeLines="50" w:before="177"/>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74DD1FB1"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6215C9A7"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78E5EB59" w14:textId="77777777" w:rsidR="00C83A7B" w:rsidRPr="00A91474" w:rsidRDefault="00C83A7B" w:rsidP="00B73F93">
            <w:pPr>
              <w:spacing w:beforeLines="50" w:before="177" w:afterLines="50" w:after="177"/>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2782B3D0" w14:textId="1695FD95"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07DE30AC" w14:textId="7CF79EA5" w:rsidR="008020C0" w:rsidRPr="00325E15" w:rsidRDefault="008020C0" w:rsidP="003A4CD4">
      <w:pPr>
        <w:suppressAutoHyphens/>
        <w:wordWrap w:val="0"/>
        <w:spacing w:line="240" w:lineRule="exac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w:t>
      </w:r>
      <w:r w:rsidR="004A2552" w:rsidRPr="00325E15">
        <w:rPr>
          <w:rFonts w:asciiTheme="majorEastAsia" w:eastAsiaTheme="majorEastAsia" w:hAnsiTheme="majorEastAsia" w:hint="eastAsia"/>
          <w:color w:val="000000"/>
          <w:spacing w:val="-10"/>
          <w:kern w:val="0"/>
        </w:rPr>
        <w:t>外的要因及び</w:t>
      </w:r>
      <w:r w:rsidRPr="00325E15">
        <w:rPr>
          <w:rFonts w:asciiTheme="majorEastAsia" w:eastAsiaTheme="majorEastAsia" w:hAnsiTheme="majorEastAsia" w:hint="eastAsia"/>
          <w:color w:val="000000"/>
          <w:spacing w:val="-10"/>
          <w:kern w:val="0"/>
        </w:rPr>
        <w:t>増加している費用</w:t>
      </w:r>
      <w:r w:rsidRPr="00325E15" w:rsidDel="00B22EA4">
        <w:rPr>
          <w:rFonts w:asciiTheme="majorEastAsia" w:eastAsiaTheme="majorEastAsia" w:hAnsiTheme="majorEastAsia" w:hint="eastAsia"/>
          <w:color w:val="000000"/>
          <w:spacing w:val="-10"/>
          <w:kern w:val="0"/>
        </w:rPr>
        <w:t>を</w:t>
      </w:r>
      <w:r w:rsidR="00325E15" w:rsidRPr="00325E15">
        <w:rPr>
          <w:rFonts w:asciiTheme="majorEastAsia" w:eastAsiaTheme="majorEastAsia" w:hAnsiTheme="majorEastAsia" w:hint="eastAsia"/>
          <w:color w:val="000000"/>
          <w:spacing w:val="-10"/>
          <w:kern w:val="0"/>
        </w:rPr>
        <w:t>記載します</w:t>
      </w:r>
      <w:r w:rsidRPr="00325E15" w:rsidDel="00B22EA4">
        <w:rPr>
          <w:rFonts w:asciiTheme="majorEastAsia" w:eastAsiaTheme="majorEastAsia" w:hAnsiTheme="majorEastAsia" w:hint="eastAsia"/>
          <w:color w:val="000000"/>
          <w:spacing w:val="-10"/>
          <w:kern w:val="0"/>
        </w:rPr>
        <w:t>。</w:t>
      </w:r>
    </w:p>
    <w:p w14:paraId="71FDFA84" w14:textId="77777777" w:rsidR="008020C0" w:rsidRPr="00325E15" w:rsidRDefault="008020C0" w:rsidP="003A4CD4">
      <w:pPr>
        <w:suppressAutoHyphens/>
        <w:wordWrap w:val="0"/>
        <w:spacing w:line="240" w:lineRule="exac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648DE7E4" w14:textId="77777777" w:rsidR="00343963" w:rsidRDefault="00325E15" w:rsidP="00343963">
      <w:pPr>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8020C0"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54792A84" w14:textId="1EB039A4" w:rsidR="00AE5ADD" w:rsidRPr="00A91474" w:rsidRDefault="00325E15" w:rsidP="004B0C3F">
      <w:pPr>
        <w:suppressAutoHyphens/>
        <w:wordWrap w:val="0"/>
        <w:spacing w:line="240" w:lineRule="exac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8020C0" w:rsidRPr="00325E15">
        <w:rPr>
          <w:rFonts w:asciiTheme="majorEastAsia" w:eastAsiaTheme="majorEastAsia" w:hAnsiTheme="majorEastAsia" w:hint="eastAsia"/>
          <w:color w:val="000000"/>
          <w:spacing w:val="-10"/>
          <w:kern w:val="0"/>
        </w:rPr>
        <w:t>から認定を受けた</w:t>
      </w:r>
      <w:r w:rsidR="001361A9" w:rsidRPr="00325E15">
        <w:rPr>
          <w:rFonts w:asciiTheme="majorEastAsia" w:eastAsiaTheme="majorEastAsia" w:hAnsiTheme="majorEastAsia" w:hint="eastAsia"/>
          <w:color w:val="000000"/>
          <w:spacing w:val="-10"/>
          <w:kern w:val="0"/>
        </w:rPr>
        <w:t>日から３０日以内に</w:t>
      </w:r>
      <w:r w:rsidR="00E26CAA" w:rsidRPr="00325E15">
        <w:rPr>
          <w:rFonts w:asciiTheme="majorEastAsia" w:eastAsiaTheme="majorEastAsia" w:hAnsiTheme="majorEastAsia" w:hint="eastAsia"/>
          <w:color w:val="000000"/>
          <w:spacing w:val="-10"/>
          <w:kern w:val="0"/>
        </w:rPr>
        <w:t>信用保証協会に対して</w:t>
      </w:r>
      <w:r w:rsidR="001361A9" w:rsidRPr="00325E15">
        <w:rPr>
          <w:rFonts w:asciiTheme="majorEastAsia" w:eastAsiaTheme="majorEastAsia" w:hAnsiTheme="majorEastAsia" w:hint="eastAsia"/>
          <w:color w:val="000000"/>
          <w:spacing w:val="-10"/>
          <w:kern w:val="0"/>
        </w:rPr>
        <w:t>、保証の申込みを行うことが必要です。</w:t>
      </w:r>
    </w:p>
    <w:sectPr w:rsidR="00AE5ADD" w:rsidRPr="00A91474" w:rsidSect="004B0C3F">
      <w:footerReference w:type="default" r:id="rId11"/>
      <w:pgSz w:w="11906" w:h="16838" w:code="9"/>
      <w:pgMar w:top="567" w:right="1134" w:bottom="567" w:left="1134" w:header="284" w:footer="284" w:gutter="0"/>
      <w:pgNumType w:fmt="numberInDash"/>
      <w:cols w:space="720"/>
      <w:noEndnote/>
      <w:docGrid w:type="line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55"/>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4DC"/>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A24"/>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732</Words>
  <Characters>340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